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77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4A326D" w:rsidTr="004A326D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326D" w:rsidRPr="004A326D" w:rsidRDefault="004A326D" w:rsidP="004A3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4A326D">
              <w:rPr>
                <w:rFonts w:ascii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5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A326D">
              <w:rPr>
                <w:rFonts w:ascii="Times New Roman" w:hAnsi="Times New Roman" w:cs="Times New Roman"/>
                <w:noProof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  <w:lang w:val="be-BY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4A326D" w:rsidRPr="004A326D" w:rsidRDefault="004A326D" w:rsidP="004A326D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4A326D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4A326D" w:rsidRPr="004A326D" w:rsidRDefault="004A326D" w:rsidP="004A326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4A326D" w:rsidRPr="004A326D" w:rsidRDefault="004A326D" w:rsidP="004A326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4A326D" w:rsidRPr="004A326D" w:rsidRDefault="004A326D" w:rsidP="004A326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4A326D" w:rsidRDefault="004A326D" w:rsidP="004A326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071DFF" w:rsidRPr="004A326D" w:rsidRDefault="00071DFF" w:rsidP="00071DF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32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71DFF" w:rsidRPr="004A326D" w:rsidRDefault="00071DFF" w:rsidP="004A326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lang w:val="be-BY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326D" w:rsidRPr="004A326D" w:rsidRDefault="004A326D" w:rsidP="004A3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326D" w:rsidRDefault="00F74325" w:rsidP="004A326D">
      <w:pPr>
        <w:spacing w:after="0" w:line="280" w:lineRule="exact"/>
        <w:ind w:left="180"/>
        <w:jc w:val="center"/>
        <w:rPr>
          <w:rStyle w:val="30"/>
          <w:rFonts w:eastAsiaTheme="minorEastAsia"/>
          <w:b w:val="0"/>
          <w:bCs w:val="0"/>
        </w:rPr>
      </w:pPr>
      <w:r>
        <w:rPr>
          <w:rStyle w:val="30"/>
          <w:rFonts w:eastAsiaTheme="minorEastAsia"/>
          <w:b w:val="0"/>
          <w:bCs w:val="0"/>
        </w:rPr>
        <w:t xml:space="preserve">      </w:t>
      </w:r>
      <w:r w:rsidR="004A326D" w:rsidRPr="0071447D">
        <w:rPr>
          <w:rStyle w:val="30"/>
          <w:rFonts w:eastAsiaTheme="minorEastAsia"/>
          <w:b w:val="0"/>
          <w:bCs w:val="0"/>
        </w:rPr>
        <w:t>РАСПОРЯЖЕНИЕ</w:t>
      </w:r>
    </w:p>
    <w:p w:rsidR="0071447D" w:rsidRPr="0071447D" w:rsidRDefault="0071447D" w:rsidP="004A326D">
      <w:pPr>
        <w:spacing w:after="0" w:line="280" w:lineRule="exact"/>
        <w:ind w:left="180"/>
        <w:jc w:val="center"/>
        <w:rPr>
          <w:b/>
        </w:rPr>
      </w:pPr>
    </w:p>
    <w:p w:rsidR="004A326D" w:rsidRPr="0071447D" w:rsidRDefault="0071447D" w:rsidP="004A326D">
      <w:pPr>
        <w:tabs>
          <w:tab w:val="left" w:pos="5912"/>
        </w:tabs>
        <w:spacing w:after="309" w:line="280" w:lineRule="exact"/>
        <w:ind w:left="174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71447D">
        <w:rPr>
          <w:rStyle w:val="30"/>
          <w:rFonts w:eastAsiaTheme="minorEastAsia"/>
          <w:b w:val="0"/>
          <w:bCs w:val="0"/>
        </w:rPr>
        <w:t xml:space="preserve">                           </w:t>
      </w:r>
      <w:r>
        <w:rPr>
          <w:rStyle w:val="30"/>
          <w:rFonts w:eastAsiaTheme="minorEastAsia"/>
          <w:b w:val="0"/>
          <w:bCs w:val="0"/>
        </w:rPr>
        <w:t>29</w:t>
      </w:r>
      <w:r w:rsidR="00F74325">
        <w:rPr>
          <w:rStyle w:val="30"/>
          <w:rFonts w:eastAsiaTheme="minorEastAsia"/>
          <w:b w:val="0"/>
          <w:bCs w:val="0"/>
        </w:rPr>
        <w:t xml:space="preserve"> декабря </w:t>
      </w:r>
      <w:r>
        <w:rPr>
          <w:rStyle w:val="30"/>
          <w:rFonts w:eastAsiaTheme="minorEastAsia"/>
          <w:b w:val="0"/>
          <w:bCs w:val="0"/>
        </w:rPr>
        <w:t xml:space="preserve">2020 </w:t>
      </w:r>
      <w:r w:rsidR="004A326D" w:rsidRPr="0071447D">
        <w:rPr>
          <w:rStyle w:val="30"/>
          <w:rFonts w:eastAsiaTheme="minorEastAsia"/>
          <w:b w:val="0"/>
          <w:bCs w:val="0"/>
        </w:rPr>
        <w:t>г</w:t>
      </w:r>
      <w:r>
        <w:rPr>
          <w:rStyle w:val="30"/>
          <w:rFonts w:eastAsiaTheme="minorEastAsia"/>
          <w:b w:val="0"/>
          <w:bCs w:val="0"/>
        </w:rPr>
        <w:t>ода</w:t>
      </w:r>
      <w:r w:rsidR="00F74325">
        <w:rPr>
          <w:rStyle w:val="30"/>
          <w:rFonts w:eastAsiaTheme="minorEastAsia"/>
          <w:b w:val="0"/>
          <w:bCs w:val="0"/>
        </w:rPr>
        <w:t xml:space="preserve"> </w:t>
      </w:r>
      <w:r w:rsidR="00F74325" w:rsidRPr="0071447D">
        <w:rPr>
          <w:rStyle w:val="30"/>
          <w:rFonts w:eastAsiaTheme="minorEastAsia"/>
          <w:b w:val="0"/>
          <w:bCs w:val="0"/>
        </w:rPr>
        <w:t>№35</w:t>
      </w:r>
    </w:p>
    <w:p w:rsidR="004A326D" w:rsidRDefault="004A326D" w:rsidP="004A326D">
      <w:pPr>
        <w:spacing w:after="600" w:line="317" w:lineRule="exact"/>
        <w:ind w:left="180"/>
        <w:jc w:val="center"/>
        <w:rPr>
          <w:rStyle w:val="30"/>
          <w:rFonts w:eastAsiaTheme="minorEastAsia"/>
          <w:bCs w:val="0"/>
        </w:rPr>
      </w:pPr>
      <w:r w:rsidRPr="004A326D">
        <w:rPr>
          <w:rStyle w:val="30"/>
          <w:rFonts w:eastAsiaTheme="minorEastAsia"/>
          <w:bCs w:val="0"/>
        </w:rPr>
        <w:t>О назначении лиц, ответственных за осуществление электронного</w:t>
      </w:r>
      <w:r w:rsidRPr="004A326D">
        <w:rPr>
          <w:rStyle w:val="30"/>
          <w:rFonts w:eastAsiaTheme="minorEastAsia"/>
          <w:bCs w:val="0"/>
        </w:rPr>
        <w:br/>
        <w:t>документооборота при работе с компонентами государственной</w:t>
      </w:r>
      <w:r w:rsidRPr="004A326D">
        <w:rPr>
          <w:rStyle w:val="30"/>
          <w:rFonts w:eastAsiaTheme="minorEastAsia"/>
          <w:bCs w:val="0"/>
        </w:rPr>
        <w:br/>
        <w:t>интегрированной информационной системы управления</w:t>
      </w:r>
      <w:r w:rsidRPr="004A326D">
        <w:rPr>
          <w:rStyle w:val="30"/>
          <w:rFonts w:eastAsiaTheme="minorEastAsia"/>
          <w:bCs w:val="0"/>
        </w:rPr>
        <w:br/>
        <w:t>общественными финансами «Электронный бюджет»</w:t>
      </w:r>
    </w:p>
    <w:p w:rsidR="004A326D" w:rsidRDefault="004A326D" w:rsidP="004A326D">
      <w:pPr>
        <w:ind w:right="240" w:firstLine="740"/>
      </w:pPr>
      <w:r>
        <w:rPr>
          <w:rStyle w:val="20"/>
          <w:rFonts w:eastAsiaTheme="minorEastAsia"/>
        </w:rPr>
        <w:t xml:space="preserve">В целях организации работ по предоставлению доступа к компонентам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 сотрудникам Администрации сельского поселения </w:t>
      </w:r>
      <w:r w:rsidRPr="00E574A9">
        <w:rPr>
          <w:rStyle w:val="20"/>
          <w:rFonts w:eastAsiaTheme="minorEastAsia"/>
        </w:rPr>
        <w:t xml:space="preserve">Султанбековский сельсовет муниципального района </w:t>
      </w:r>
      <w:r>
        <w:rPr>
          <w:rStyle w:val="20"/>
          <w:rFonts w:eastAsiaTheme="minorEastAsia"/>
        </w:rPr>
        <w:t>Аскинский район Республики Башкортостан:</w:t>
      </w:r>
    </w:p>
    <w:p w:rsidR="004A326D" w:rsidRDefault="004A326D" w:rsidP="004A326D">
      <w:pPr>
        <w:widowControl w:val="0"/>
        <w:numPr>
          <w:ilvl w:val="0"/>
          <w:numId w:val="1"/>
        </w:numPr>
        <w:tabs>
          <w:tab w:val="left" w:pos="1063"/>
        </w:tabs>
        <w:spacing w:after="0" w:line="317" w:lineRule="exact"/>
        <w:ind w:right="240" w:firstLine="740"/>
        <w:jc w:val="both"/>
      </w:pPr>
      <w:r>
        <w:rPr>
          <w:rStyle w:val="20"/>
          <w:rFonts w:eastAsiaTheme="minorEastAsia"/>
        </w:rPr>
        <w:t>Утвердить прилагаемый перечень уполномоченных лиц, наделенных правом подписи с использованием усиленной квалифицированной электронной подписи на едином портале бюджетной системы Российской Федерации и ответственных за выполнение мероприятий по размещению информации на едином портале.</w:t>
      </w:r>
    </w:p>
    <w:p w:rsidR="004A326D" w:rsidRDefault="004A326D" w:rsidP="004A326D">
      <w:pPr>
        <w:widowControl w:val="0"/>
        <w:numPr>
          <w:ilvl w:val="0"/>
          <w:numId w:val="1"/>
        </w:numPr>
        <w:tabs>
          <w:tab w:val="left" w:pos="1063"/>
        </w:tabs>
        <w:spacing w:after="0" w:line="317" w:lineRule="exact"/>
        <w:ind w:right="240" w:firstLine="740"/>
        <w:jc w:val="both"/>
      </w:pPr>
      <w:r>
        <w:rPr>
          <w:rStyle w:val="20"/>
          <w:rFonts w:eastAsiaTheme="minorEastAsia"/>
        </w:rPr>
        <w:t>Возложить на лиц, указанных в пункте 1 настоящего распоряжения, персональную ответственность за:</w:t>
      </w:r>
    </w:p>
    <w:p w:rsidR="004A326D" w:rsidRDefault="004A326D" w:rsidP="004A326D">
      <w:pPr>
        <w:widowControl w:val="0"/>
        <w:numPr>
          <w:ilvl w:val="0"/>
          <w:numId w:val="2"/>
        </w:numPr>
        <w:tabs>
          <w:tab w:val="left" w:pos="1063"/>
        </w:tabs>
        <w:spacing w:after="0" w:line="317" w:lineRule="exact"/>
        <w:ind w:right="240" w:firstLine="740"/>
        <w:jc w:val="both"/>
      </w:pPr>
      <w:r>
        <w:rPr>
          <w:rStyle w:val="20"/>
          <w:rFonts w:eastAsiaTheme="minorEastAsia"/>
        </w:rPr>
        <w:t>безопасность ключевой информации, ее сохранность, неразглашение и нераспространение;</w:t>
      </w:r>
    </w:p>
    <w:p w:rsidR="004A326D" w:rsidRDefault="004A326D" w:rsidP="004A326D">
      <w:pPr>
        <w:widowControl w:val="0"/>
        <w:numPr>
          <w:ilvl w:val="0"/>
          <w:numId w:val="2"/>
        </w:numPr>
        <w:tabs>
          <w:tab w:val="left" w:pos="1063"/>
        </w:tabs>
        <w:spacing w:after="0" w:line="317" w:lineRule="exact"/>
        <w:ind w:right="240" w:firstLine="740"/>
        <w:jc w:val="both"/>
      </w:pPr>
      <w:r>
        <w:rPr>
          <w:rStyle w:val="20"/>
          <w:rFonts w:eastAsiaTheme="minorEastAsia"/>
        </w:rPr>
        <w:t>соблюдение требований безопасности к автоматизированному рабочему месту, с которого осуществляется доступ к подсистемам и компонентам системы «Электронный бюджет».</w:t>
      </w:r>
    </w:p>
    <w:p w:rsidR="004A326D" w:rsidRDefault="004A326D" w:rsidP="004A326D">
      <w:pPr>
        <w:spacing w:after="600" w:line="317" w:lineRule="exact"/>
        <w:ind w:left="180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>3.Контроль за исполнением настоящего распоряжения оставляю за собой.</w:t>
      </w:r>
    </w:p>
    <w:p w:rsidR="0071447D" w:rsidRDefault="0071447D" w:rsidP="004A326D">
      <w:pPr>
        <w:spacing w:after="600" w:line="317" w:lineRule="exact"/>
        <w:ind w:left="180"/>
        <w:rPr>
          <w:rStyle w:val="20"/>
          <w:rFonts w:eastAsiaTheme="minorEastAsia"/>
        </w:rPr>
      </w:pPr>
    </w:p>
    <w:p w:rsidR="004A326D" w:rsidRDefault="004A326D" w:rsidP="004A326D">
      <w:pPr>
        <w:spacing w:after="600" w:line="317" w:lineRule="exact"/>
        <w:ind w:left="180"/>
        <w:rPr>
          <w:rStyle w:val="20"/>
          <w:rFonts w:eastAsiaTheme="minorEastAsia"/>
        </w:rPr>
      </w:pPr>
      <w:r>
        <w:rPr>
          <w:rStyle w:val="20"/>
          <w:rFonts w:eastAsiaTheme="minorEastAsia"/>
        </w:rPr>
        <w:t>Глава сельского поселения                                           Ф.Ф. Шарафутдинов.</w:t>
      </w:r>
    </w:p>
    <w:p w:rsidR="004A326D" w:rsidRDefault="004A326D" w:rsidP="0071447D">
      <w:pPr>
        <w:spacing w:after="600" w:line="317" w:lineRule="exact"/>
        <w:rPr>
          <w:rStyle w:val="20"/>
          <w:rFonts w:eastAsiaTheme="minorEastAsia"/>
        </w:rPr>
      </w:pPr>
    </w:p>
    <w:p w:rsidR="004A326D" w:rsidRPr="004A326D" w:rsidRDefault="004A326D" w:rsidP="004A326D">
      <w:pPr>
        <w:spacing w:after="0" w:line="240" w:lineRule="auto"/>
        <w:ind w:left="5720"/>
        <w:rPr>
          <w:sz w:val="24"/>
          <w:szCs w:val="24"/>
        </w:rPr>
      </w:pPr>
      <w:r w:rsidRPr="004A326D">
        <w:rPr>
          <w:rStyle w:val="20"/>
          <w:rFonts w:eastAsiaTheme="minorEastAsia"/>
          <w:sz w:val="24"/>
          <w:szCs w:val="24"/>
        </w:rPr>
        <w:lastRenderedPageBreak/>
        <w:t>Утвержден</w:t>
      </w:r>
    </w:p>
    <w:p w:rsidR="004A326D" w:rsidRPr="004A326D" w:rsidRDefault="004A326D" w:rsidP="004A326D">
      <w:pPr>
        <w:spacing w:after="0" w:line="240" w:lineRule="auto"/>
        <w:ind w:left="5720"/>
        <w:rPr>
          <w:sz w:val="24"/>
          <w:szCs w:val="24"/>
        </w:rPr>
      </w:pPr>
      <w:r w:rsidRPr="004A326D">
        <w:rPr>
          <w:rStyle w:val="20"/>
          <w:rFonts w:eastAsiaTheme="minorEastAsia"/>
          <w:sz w:val="24"/>
          <w:szCs w:val="24"/>
        </w:rPr>
        <w:t xml:space="preserve">распоряжением Администрации </w:t>
      </w:r>
      <w:r w:rsidRPr="00F223C6">
        <w:rPr>
          <w:rStyle w:val="20"/>
          <w:rFonts w:eastAsiaTheme="minorEastAsia"/>
          <w:sz w:val="24"/>
          <w:szCs w:val="24"/>
        </w:rPr>
        <w:t>СП Султанбековский сельс</w:t>
      </w:r>
      <w:r w:rsidR="0071447D">
        <w:rPr>
          <w:rStyle w:val="20"/>
          <w:rFonts w:eastAsiaTheme="minorEastAsia"/>
          <w:sz w:val="24"/>
          <w:szCs w:val="24"/>
        </w:rPr>
        <w:t>овет МР Аскинский район РБ от 29 декабря 2020</w:t>
      </w:r>
      <w:r w:rsidRPr="00F223C6">
        <w:rPr>
          <w:rStyle w:val="20"/>
          <w:rFonts w:eastAsiaTheme="minorEastAsia"/>
          <w:sz w:val="24"/>
          <w:szCs w:val="24"/>
        </w:rPr>
        <w:t xml:space="preserve"> г. №</w:t>
      </w:r>
      <w:r w:rsidR="0071447D">
        <w:rPr>
          <w:rStyle w:val="20"/>
          <w:rFonts w:eastAsiaTheme="minorEastAsia"/>
          <w:sz w:val="24"/>
          <w:szCs w:val="24"/>
        </w:rPr>
        <w:t>35</w:t>
      </w: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4A326D" w:rsidRPr="004A326D" w:rsidRDefault="004A326D" w:rsidP="004A326D">
      <w:pPr>
        <w:spacing w:after="0" w:line="240" w:lineRule="auto"/>
        <w:ind w:right="220"/>
        <w:jc w:val="center"/>
        <w:rPr>
          <w:sz w:val="24"/>
          <w:szCs w:val="24"/>
        </w:rPr>
      </w:pPr>
      <w:r w:rsidRPr="004A326D">
        <w:rPr>
          <w:rStyle w:val="20"/>
          <w:rFonts w:eastAsiaTheme="minorEastAsia"/>
          <w:sz w:val="24"/>
          <w:szCs w:val="24"/>
        </w:rPr>
        <w:t>ПЕРЕЧЕНЬ</w:t>
      </w:r>
    </w:p>
    <w:p w:rsidR="004A326D" w:rsidRDefault="004A326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  <w:r w:rsidRPr="004A326D">
        <w:rPr>
          <w:rStyle w:val="20"/>
          <w:rFonts w:eastAsiaTheme="minorEastAsia"/>
          <w:sz w:val="24"/>
          <w:szCs w:val="24"/>
        </w:rPr>
        <w:t>уполномоченных лиц, наделенных правом подписи с использованием</w:t>
      </w:r>
      <w:r w:rsidRPr="004A326D">
        <w:rPr>
          <w:rStyle w:val="20"/>
          <w:rFonts w:eastAsiaTheme="minorEastAsia"/>
          <w:sz w:val="24"/>
          <w:szCs w:val="24"/>
        </w:rPr>
        <w:br/>
        <w:t>усиленной квалифицированной электронной подписи на едином портале</w:t>
      </w:r>
      <w:r w:rsidRPr="004A326D">
        <w:rPr>
          <w:rStyle w:val="20"/>
          <w:rFonts w:eastAsiaTheme="minorEastAsia"/>
          <w:sz w:val="24"/>
          <w:szCs w:val="24"/>
        </w:rPr>
        <w:br/>
        <w:t>бюджетной системы Российской Федерации и ответственных за выполнение</w:t>
      </w:r>
      <w:r w:rsidRPr="004A326D">
        <w:rPr>
          <w:rStyle w:val="20"/>
          <w:rFonts w:eastAsiaTheme="minorEastAsia"/>
          <w:sz w:val="24"/>
          <w:szCs w:val="24"/>
        </w:rPr>
        <w:br/>
        <w:t>мероприятий по размещению информации на едином портале</w:t>
      </w: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tbl>
      <w:tblPr>
        <w:tblpPr w:leftFromText="180" w:rightFromText="180" w:vertAnchor="text" w:horzAnchor="margin" w:tblpXSpec="center" w:tblpY="-55"/>
        <w:tblOverlap w:val="never"/>
        <w:tblW w:w="99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36"/>
        <w:gridCol w:w="2387"/>
        <w:gridCol w:w="2369"/>
        <w:gridCol w:w="2416"/>
      </w:tblGrid>
      <w:tr w:rsidR="0071447D" w:rsidTr="0071447D">
        <w:trPr>
          <w:trHeight w:hRule="exact" w:val="536"/>
        </w:trPr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after="0" w:line="210" w:lineRule="exact"/>
              <w:ind w:left="180"/>
            </w:pPr>
            <w:r>
              <w:rPr>
                <w:rStyle w:val="2105pt"/>
                <w:rFonts w:eastAsiaTheme="minorEastAsia"/>
              </w:rPr>
              <w:t>Подразделение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"/>
                <w:rFonts w:eastAsiaTheme="minorEastAsia"/>
              </w:rPr>
              <w:t>Руководство</w:t>
            </w:r>
          </w:p>
        </w:tc>
      </w:tr>
      <w:tr w:rsidR="0071447D" w:rsidTr="0071447D">
        <w:trPr>
          <w:trHeight w:hRule="exact" w:val="511"/>
        </w:trPr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10" w:lineRule="exact"/>
              <w:ind w:left="180"/>
            </w:pPr>
            <w:r>
              <w:rPr>
                <w:rStyle w:val="2105pt"/>
                <w:rFonts w:eastAsiaTheme="minorEastAsia"/>
              </w:rPr>
              <w:t>Должность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"/>
                <w:rFonts w:eastAsiaTheme="minorEastAsia"/>
              </w:rPr>
              <w:t>Глава сельского поселения</w:t>
            </w:r>
          </w:p>
        </w:tc>
      </w:tr>
      <w:tr w:rsidR="0071447D" w:rsidTr="0071447D">
        <w:trPr>
          <w:trHeight w:hRule="exact" w:val="511"/>
        </w:trPr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10" w:lineRule="exact"/>
              <w:ind w:left="180"/>
            </w:pPr>
            <w:r>
              <w:rPr>
                <w:rStyle w:val="2105pt"/>
                <w:rFonts w:eastAsiaTheme="minorEastAsia"/>
              </w:rPr>
              <w:t>ФИО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10" w:lineRule="exact"/>
            </w:pPr>
            <w:bookmarkStart w:id="0" w:name="_GoBack"/>
            <w:bookmarkEnd w:id="0"/>
            <w:r>
              <w:rPr>
                <w:rStyle w:val="2105pt"/>
                <w:rFonts w:eastAsiaTheme="minorEastAsia"/>
              </w:rPr>
              <w:t>Шарафутдинов Фаниль Фангатович</w:t>
            </w:r>
          </w:p>
        </w:tc>
      </w:tr>
      <w:tr w:rsidR="0071447D" w:rsidTr="0071447D">
        <w:trPr>
          <w:trHeight w:hRule="exact" w:val="382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Перечень полномочий на Едином портале бюджетной системы Российской Федерации</w:t>
            </w:r>
          </w:p>
        </w:tc>
      </w:tr>
      <w:tr w:rsidR="0071447D" w:rsidTr="0071447D">
        <w:trPr>
          <w:trHeight w:hRule="exact" w:val="43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участников системы «Электронный бюджет»</w:t>
            </w:r>
          </w:p>
        </w:tc>
      </w:tr>
      <w:tr w:rsidR="0071447D" w:rsidTr="0071447D">
        <w:trPr>
          <w:trHeight w:hRule="exact" w:val="51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45" w:lineRule="exact"/>
            </w:pPr>
            <w:r>
              <w:rPr>
                <w:rStyle w:val="2105pt"/>
                <w:rFonts w:eastAsiaTheme="minorEastAsia"/>
              </w:rPr>
              <w:t>1. Формирование и предоставление информации для обработки и публикации использованием единого портала</w:t>
            </w:r>
          </w:p>
        </w:tc>
      </w:tr>
      <w:tr w:rsidR="0071447D" w:rsidTr="0071447D">
        <w:trPr>
          <w:trHeight w:hRule="exact" w:val="26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Ввод данных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Согласование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Утверждение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Просмотр</w:t>
            </w:r>
          </w:p>
        </w:tc>
      </w:tr>
      <w:tr w:rsidR="0071447D" w:rsidTr="0071447D">
        <w:trPr>
          <w:trHeight w:hRule="exact" w:val="25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</w:tr>
      <w:tr w:rsidR="0071447D" w:rsidTr="0071447D">
        <w:trPr>
          <w:trHeight w:hRule="exact" w:val="51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after="60" w:line="210" w:lineRule="exact"/>
              <w:jc w:val="center"/>
            </w:pPr>
            <w:r>
              <w:rPr>
                <w:rStyle w:val="2105pt"/>
                <w:rFonts w:eastAsiaTheme="minorEastAsia"/>
              </w:rPr>
              <w:t>2. Формирование запроса на снятие с публикации опубликованной информации и перемещение в</w:t>
            </w:r>
          </w:p>
          <w:p w:rsidR="0071447D" w:rsidRDefault="0071447D" w:rsidP="0071447D">
            <w:pPr>
              <w:spacing w:before="60" w:line="210" w:lineRule="exact"/>
              <w:jc w:val="center"/>
            </w:pPr>
            <w:r>
              <w:rPr>
                <w:rStyle w:val="2105pt"/>
                <w:rFonts w:eastAsiaTheme="minorEastAsia"/>
              </w:rPr>
              <w:t>архив неактуальной информации</w:t>
            </w:r>
          </w:p>
        </w:tc>
      </w:tr>
      <w:tr w:rsidR="0071447D" w:rsidTr="0071447D">
        <w:trPr>
          <w:trHeight w:hRule="exact" w:val="25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Ввод данных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Согласование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Утверждение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Просмотр</w:t>
            </w:r>
          </w:p>
        </w:tc>
      </w:tr>
      <w:tr w:rsidR="0071447D" w:rsidTr="0071447D">
        <w:trPr>
          <w:trHeight w:hRule="exact" w:val="25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</w:tr>
      <w:tr w:rsidR="0071447D" w:rsidTr="0071447D">
        <w:trPr>
          <w:trHeight w:hRule="exact" w:val="727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52" w:lineRule="exact"/>
              <w:jc w:val="center"/>
            </w:pPr>
            <w:r>
              <w:rPr>
                <w:rStyle w:val="2105pt"/>
                <w:rFonts w:eastAsiaTheme="minorEastAsia"/>
              </w:rPr>
              <w:t>3. Формирование и предоставление информации для ведения коммуникативного сервиса единого портала, обеспечивающего возможность участии в опросах и голосованиях</w:t>
            </w:r>
          </w:p>
        </w:tc>
      </w:tr>
      <w:tr w:rsidR="0071447D" w:rsidTr="0071447D">
        <w:trPr>
          <w:trHeight w:hRule="exact" w:val="259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Ввод данных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Согласование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Утверждение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Просмотр</w:t>
            </w:r>
          </w:p>
        </w:tc>
      </w:tr>
      <w:tr w:rsidR="0071447D" w:rsidTr="0071447D">
        <w:trPr>
          <w:trHeight w:hRule="exact" w:val="26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</w:tr>
      <w:tr w:rsidR="0071447D" w:rsidTr="0071447D">
        <w:trPr>
          <w:trHeight w:hRule="exact" w:val="767"/>
        </w:trPr>
        <w:tc>
          <w:tcPr>
            <w:tcW w:w="74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52" w:lineRule="exact"/>
              <w:jc w:val="right"/>
            </w:pPr>
            <w:r>
              <w:rPr>
                <w:rStyle w:val="2105pt0"/>
                <w:rFonts w:eastAsiaTheme="minorEastAsia"/>
              </w:rPr>
              <w:t>4.</w:t>
            </w:r>
            <w:r>
              <w:rPr>
                <w:rStyle w:val="2105pt"/>
                <w:rFonts w:eastAsiaTheme="minorEastAsia"/>
              </w:rPr>
              <w:t xml:space="preserve"> Формирование и предоставление информации для ведения коммуникатив портала, обеспечивающего возможность общения с другими пользователям едином портале по темам и рубрикам единого портала (фо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48" w:lineRule="exact"/>
            </w:pPr>
            <w:r>
              <w:rPr>
                <w:rStyle w:val="2105pt"/>
                <w:rFonts w:eastAsiaTheme="minorEastAsia"/>
              </w:rPr>
              <w:t>ного сервиса единого и единого портала на рум)</w:t>
            </w:r>
          </w:p>
        </w:tc>
      </w:tr>
      <w:tr w:rsidR="0071447D" w:rsidTr="0071447D">
        <w:trPr>
          <w:trHeight w:hRule="exact" w:val="26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Ввод данных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Согласование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Утверждение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Просмотр</w:t>
            </w:r>
          </w:p>
        </w:tc>
      </w:tr>
      <w:tr w:rsidR="0071447D" w:rsidTr="0071447D">
        <w:trPr>
          <w:trHeight w:hRule="exact" w:val="266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</w:t>
            </w:r>
          </w:p>
        </w:tc>
      </w:tr>
      <w:tr w:rsidR="0071447D" w:rsidTr="0071447D">
        <w:trPr>
          <w:trHeight w:hRule="exact" w:val="34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Перечень полномочий в государственной интегрированной информационной системе</w:t>
            </w:r>
          </w:p>
        </w:tc>
      </w:tr>
      <w:tr w:rsidR="0071447D" w:rsidTr="0071447D">
        <w:trPr>
          <w:trHeight w:hRule="exact" w:val="2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управления общественными Финансами «Электронный бюджет» (далее - система</w:t>
            </w:r>
          </w:p>
        </w:tc>
      </w:tr>
      <w:tr w:rsidR="0071447D" w:rsidTr="0071447D">
        <w:trPr>
          <w:trHeight w:hRule="exact" w:val="33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«Электронный бюджет») участников системы «Электронный бюджет»</w:t>
            </w:r>
          </w:p>
        </w:tc>
      </w:tr>
      <w:tr w:rsidR="0071447D" w:rsidTr="0071447D">
        <w:trPr>
          <w:trHeight w:hRule="exact" w:val="562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52" w:lineRule="exact"/>
            </w:pPr>
            <w:r>
              <w:rPr>
                <w:rStyle w:val="2105pt"/>
                <w:rFonts w:eastAsiaTheme="minorEastAsia"/>
              </w:rPr>
              <w:t>1. Формирование и предоставление информации для обработки и публикации на едином портале в структурированном виде с использованием системы «Электронный бюджет»</w:t>
            </w:r>
          </w:p>
        </w:tc>
      </w:tr>
      <w:tr w:rsidR="0071447D" w:rsidTr="0071447D">
        <w:trPr>
          <w:trHeight w:hRule="exact" w:val="26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Ввод данных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Согласование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Утверждение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Просмотр</w:t>
            </w:r>
          </w:p>
        </w:tc>
      </w:tr>
      <w:tr w:rsidR="0071447D" w:rsidTr="0071447D">
        <w:trPr>
          <w:trHeight w:hRule="exact" w:val="263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</w:tr>
      <w:tr w:rsidR="0071447D" w:rsidTr="0071447D">
        <w:trPr>
          <w:trHeight w:hRule="exact" w:val="742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447D" w:rsidRDefault="0071447D" w:rsidP="0071447D">
            <w:pPr>
              <w:spacing w:line="252" w:lineRule="exact"/>
            </w:pPr>
            <w:r>
              <w:rPr>
                <w:rStyle w:val="2105pt"/>
                <w:rFonts w:eastAsiaTheme="minorEastAsia"/>
              </w:rPr>
              <w:t>2. Направление заявки на регистрацию уполномоченных лиц участника системы «Электронный бюджет»</w:t>
            </w:r>
          </w:p>
        </w:tc>
      </w:tr>
      <w:tr w:rsidR="0071447D" w:rsidTr="0071447D">
        <w:trPr>
          <w:trHeight w:hRule="exact" w:val="263"/>
        </w:trPr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ind w:left="280"/>
            </w:pPr>
            <w:r>
              <w:rPr>
                <w:rStyle w:val="2105pt"/>
                <w:rFonts w:eastAsiaTheme="minorEastAsia"/>
              </w:rPr>
              <w:t>Ввод данных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Согласование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Утверждение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jc w:val="center"/>
            </w:pPr>
            <w:r>
              <w:rPr>
                <w:rStyle w:val="2105pt"/>
                <w:rFonts w:eastAsiaTheme="minorEastAsia"/>
              </w:rPr>
              <w:t>Просмотр</w:t>
            </w:r>
          </w:p>
        </w:tc>
      </w:tr>
      <w:tr w:rsidR="0071447D" w:rsidTr="0071447D">
        <w:trPr>
          <w:trHeight w:hRule="exact" w:val="281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  <w:ind w:left="280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447D" w:rsidRDefault="0071447D" w:rsidP="0071447D">
            <w:pPr>
              <w:spacing w:line="210" w:lineRule="exact"/>
            </w:pPr>
            <w:r>
              <w:rPr>
                <w:rStyle w:val="2105pt0"/>
                <w:rFonts w:eastAsiaTheme="minorEastAsia"/>
              </w:rPr>
              <w:t>Добавить/ исключить</w:t>
            </w:r>
          </w:p>
        </w:tc>
      </w:tr>
    </w:tbl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Default="0071447D" w:rsidP="004A326D">
      <w:pPr>
        <w:spacing w:after="0" w:line="240" w:lineRule="auto"/>
        <w:ind w:right="220"/>
        <w:jc w:val="center"/>
        <w:rPr>
          <w:rStyle w:val="20"/>
          <w:rFonts w:eastAsiaTheme="minorEastAsia"/>
          <w:sz w:val="24"/>
          <w:szCs w:val="24"/>
        </w:rPr>
      </w:pPr>
    </w:p>
    <w:p w:rsidR="0071447D" w:rsidRPr="004A326D" w:rsidRDefault="0071447D" w:rsidP="004A326D">
      <w:pPr>
        <w:spacing w:after="0" w:line="240" w:lineRule="auto"/>
        <w:ind w:right="220"/>
        <w:jc w:val="center"/>
        <w:rPr>
          <w:sz w:val="24"/>
          <w:szCs w:val="24"/>
        </w:rPr>
      </w:pPr>
    </w:p>
    <w:p w:rsidR="004A326D" w:rsidRDefault="004A326D" w:rsidP="004A326D">
      <w:pPr>
        <w:framePr w:w="9907" w:wrap="notBeside" w:vAnchor="text" w:hAnchor="text" w:xAlign="center" w:y="1"/>
        <w:rPr>
          <w:sz w:val="2"/>
          <w:szCs w:val="2"/>
        </w:rPr>
      </w:pPr>
    </w:p>
    <w:p w:rsidR="004A326D" w:rsidRDefault="004A326D" w:rsidP="004A326D">
      <w:pPr>
        <w:rPr>
          <w:sz w:val="2"/>
          <w:szCs w:val="2"/>
        </w:rPr>
      </w:pPr>
    </w:p>
    <w:p w:rsidR="004A326D" w:rsidRDefault="004A326D" w:rsidP="004A326D">
      <w:pPr>
        <w:rPr>
          <w:sz w:val="2"/>
          <w:szCs w:val="2"/>
        </w:rPr>
      </w:pPr>
    </w:p>
    <w:p w:rsidR="004A326D" w:rsidRDefault="004A326D" w:rsidP="004A326D">
      <w:pPr>
        <w:spacing w:after="600" w:line="317" w:lineRule="exact"/>
        <w:ind w:left="180"/>
        <w:rPr>
          <w:rStyle w:val="30"/>
          <w:rFonts w:eastAsiaTheme="minorEastAsia"/>
          <w:bCs w:val="0"/>
        </w:rPr>
      </w:pPr>
    </w:p>
    <w:p w:rsidR="004A326D" w:rsidRPr="004A326D" w:rsidRDefault="004A326D" w:rsidP="004A326D">
      <w:pPr>
        <w:spacing w:after="600" w:line="317" w:lineRule="exact"/>
        <w:ind w:left="180"/>
        <w:jc w:val="center"/>
      </w:pPr>
    </w:p>
    <w:p w:rsidR="00B55505" w:rsidRDefault="00B55505" w:rsidP="004A326D">
      <w:pPr>
        <w:spacing w:after="0"/>
      </w:pPr>
    </w:p>
    <w:sectPr w:rsidR="00B55505" w:rsidSect="0049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172" w:rsidRDefault="00321172" w:rsidP="00493C5D">
      <w:pPr>
        <w:spacing w:after="0" w:line="240" w:lineRule="auto"/>
      </w:pPr>
      <w:r>
        <w:separator/>
      </w:r>
    </w:p>
  </w:endnote>
  <w:endnote w:type="continuationSeparator" w:id="1">
    <w:p w:rsidR="00321172" w:rsidRDefault="00321172" w:rsidP="0049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172" w:rsidRDefault="00321172" w:rsidP="00493C5D">
      <w:pPr>
        <w:spacing w:after="0" w:line="240" w:lineRule="auto"/>
      </w:pPr>
      <w:r>
        <w:separator/>
      </w:r>
    </w:p>
  </w:footnote>
  <w:footnote w:type="continuationSeparator" w:id="1">
    <w:p w:rsidR="00321172" w:rsidRDefault="00321172" w:rsidP="00493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B5B4D"/>
    <w:multiLevelType w:val="multilevel"/>
    <w:tmpl w:val="BC36E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CC104C"/>
    <w:multiLevelType w:val="multilevel"/>
    <w:tmpl w:val="E7A2CD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A326D"/>
    <w:rsid w:val="00071DFF"/>
    <w:rsid w:val="00321172"/>
    <w:rsid w:val="00493C5D"/>
    <w:rsid w:val="004A326D"/>
    <w:rsid w:val="0071447D"/>
    <w:rsid w:val="00AF78B2"/>
    <w:rsid w:val="00B55505"/>
    <w:rsid w:val="00D776EE"/>
    <w:rsid w:val="00E574A9"/>
    <w:rsid w:val="00F1456B"/>
    <w:rsid w:val="00F223C6"/>
    <w:rsid w:val="00F678B3"/>
    <w:rsid w:val="00F74325"/>
    <w:rsid w:val="00F8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4A3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4A326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4A3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A326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"/>
    <w:basedOn w:val="2"/>
    <w:rsid w:val="004A326D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;Курсив"/>
    <w:basedOn w:val="2"/>
    <w:rsid w:val="004A326D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4</cp:revision>
  <dcterms:created xsi:type="dcterms:W3CDTF">2020-12-29T04:16:00Z</dcterms:created>
  <dcterms:modified xsi:type="dcterms:W3CDTF">2021-01-15T09:46:00Z</dcterms:modified>
</cp:coreProperties>
</file>